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7C0A" w14:textId="77777777" w:rsidR="00AF5CD5" w:rsidRDefault="00AF5CD5">
      <w:pPr>
        <w:pStyle w:val="SemEspaamen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7E46A3" w14:textId="10201C53" w:rsidR="00AF5CD5" w:rsidRDefault="00D8066C">
      <w:pPr>
        <w:pStyle w:val="SemEspaamen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Despacho Decisório </w:t>
      </w:r>
      <w:r w:rsidR="005B47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5B4744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0XX/2024</w:t>
      </w:r>
    </w:p>
    <w:p w14:paraId="2268C9D9" w14:textId="77777777" w:rsidR="00AF5CD5" w:rsidRDefault="00AF5CD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91457E9" w14:textId="2D8F4080" w:rsidR="00AF5CD5" w:rsidRDefault="00D8066C">
      <w:pPr>
        <w:pStyle w:val="PargrafodaLista"/>
        <w:ind w:left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Município, XX de </w:t>
      </w:r>
      <w:r w:rsidR="005B4744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5B4744">
        <w:rPr>
          <w:rFonts w:ascii="Times New Roman" w:hAnsi="Times New Roman" w:cs="Times New Roman"/>
          <w:sz w:val="24"/>
          <w:szCs w:val="24"/>
        </w:rPr>
        <w:t>X</w:t>
      </w:r>
    </w:p>
    <w:p w14:paraId="0C7D4377" w14:textId="77777777" w:rsidR="00AF5CD5" w:rsidRDefault="00AF5CD5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3C91DA16" w14:textId="2F7C0073" w:rsidR="00AF5CD5" w:rsidRDefault="00D8066C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 Nº 10675.XXXXX/202</w:t>
      </w:r>
      <w:r w:rsidR="005B4744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-</w:t>
      </w:r>
      <w:r w:rsidR="005B4744">
        <w:rPr>
          <w:rFonts w:ascii="Times New Roman" w:hAnsi="Times New Roman" w:cs="Times New Roman"/>
          <w:sz w:val="24"/>
          <w:szCs w:val="24"/>
        </w:rPr>
        <w:t>XX</w:t>
      </w:r>
    </w:p>
    <w:p w14:paraId="42685E20" w14:textId="77777777" w:rsidR="00AF5CD5" w:rsidRDefault="00D8066C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Interessado: José da Silva </w:t>
      </w:r>
    </w:p>
    <w:p w14:paraId="38EFCD30" w14:textId="77777777" w:rsidR="00AF5CD5" w:rsidRDefault="00D8066C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CNPJ/CPF: XXX.XXX.XXX-XX</w:t>
      </w:r>
    </w:p>
    <w:p w14:paraId="629F82ED" w14:textId="77777777" w:rsidR="00AF5CD5" w:rsidRDefault="00D8066C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CIB: X.XXX.XXX-8</w:t>
      </w:r>
    </w:p>
    <w:p w14:paraId="1C6EABCC" w14:textId="77777777" w:rsidR="00AF5CD5" w:rsidRDefault="00AF5CD5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5CC16196" w14:textId="77777777" w:rsidR="00AF5CD5" w:rsidRDefault="00AF5CD5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01C9A557" w14:textId="77777777" w:rsidR="00AF5CD5" w:rsidRDefault="00AF5CD5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2FD8B906" w14:textId="77777777" w:rsidR="00AF5CD5" w:rsidRDefault="00AF5CD5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283EDA6C" w14:textId="77777777" w:rsidR="00AF5CD5" w:rsidRDefault="00AF5CD5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0E4E3768" w14:textId="77777777" w:rsidR="00AF5CD5" w:rsidRDefault="00AF5CD5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9B03FE9" w14:textId="77777777" w:rsidR="00AF5CD5" w:rsidRDefault="00AF5CD5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90B127" w14:textId="77777777" w:rsidR="00AF5CD5" w:rsidRDefault="00D8066C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IMPOSTO SOBRE A PROPRIEDADE TERRITORIAL RURAL (ITR)</w:t>
      </w:r>
    </w:p>
    <w:p w14:paraId="2EE8E109" w14:textId="77777777" w:rsidR="00AF5CD5" w:rsidRDefault="00D8066C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EXERCÍCIO: 2024</w:t>
      </w:r>
    </w:p>
    <w:p w14:paraId="370DF521" w14:textId="77777777" w:rsidR="00AF5CD5" w:rsidRDefault="00AF5CD5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1CB2E" w14:textId="77777777" w:rsidR="00AF5CD5" w:rsidRDefault="00AF5CD5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C7588" w14:textId="77777777" w:rsidR="00AF5CD5" w:rsidRDefault="00D8066C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Caracteriza-se vício formal a identificação do incorreta do sujeito passivo causando a Nulidade do Lançamento</w:t>
      </w:r>
    </w:p>
    <w:p w14:paraId="6115C9BB" w14:textId="77777777" w:rsidR="00AF5CD5" w:rsidRDefault="00AF5CD5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8F748" w14:textId="4329FFE3" w:rsidR="00AF5CD5" w:rsidRDefault="00D8066C">
      <w:pPr>
        <w:pStyle w:val="PargrafodaLista"/>
        <w:ind w:left="3402"/>
        <w:jc w:val="both"/>
      </w:pPr>
      <w:r>
        <w:rPr>
          <w:rFonts w:ascii="Times New Roman" w:hAnsi="Times New Roman" w:cs="Times New Roman"/>
          <w:sz w:val="24"/>
          <w:szCs w:val="24"/>
        </w:rPr>
        <w:t>É nulo o lançamento em nome do espólio, quando restar comprovado que, na data da lavratura, já havia encerrada a sucessão pela adjudicação ou partilha dos bens deixados pelo falecido. Depois de encerrado o inventário, o espólio deixa de ser contribuinte do imposto.</w:t>
      </w:r>
    </w:p>
    <w:p w14:paraId="536351A8" w14:textId="77777777" w:rsidR="00AF5CD5" w:rsidRDefault="00AF5CD5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08555" w14:textId="77777777" w:rsidR="00AF5CD5" w:rsidRDefault="00D8066C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Crédito Tributário Exonerado</w:t>
      </w:r>
    </w:p>
    <w:p w14:paraId="5A47C58D" w14:textId="77777777" w:rsidR="00AF5CD5" w:rsidRDefault="00AF5CD5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28A7E" w14:textId="77777777" w:rsidR="00AF5CD5" w:rsidRDefault="00AF5CD5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7B633" w14:textId="77777777" w:rsidR="00AF5CD5" w:rsidRDefault="00AF5CD5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5A5BD" w14:textId="77777777" w:rsidR="00AF5CD5" w:rsidRDefault="00D8066C">
      <w:pPr>
        <w:pStyle w:val="PargrafodaLista"/>
        <w:pBdr>
          <w:top w:val="single" w:sz="4" w:space="1" w:color="000000"/>
          <w:bottom w:val="single" w:sz="4" w:space="1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</w:t>
      </w:r>
    </w:p>
    <w:p w14:paraId="07C3E3A9" w14:textId="77777777" w:rsidR="00AF5CD5" w:rsidRDefault="00AF5CD5">
      <w:pPr>
        <w:pStyle w:val="PargrafodaLista"/>
        <w:ind w:left="0" w:firstLine="1134"/>
        <w:rPr>
          <w:rFonts w:ascii="Times New Roman" w:hAnsi="Times New Roman" w:cs="Times New Roman"/>
          <w:sz w:val="24"/>
          <w:szCs w:val="24"/>
        </w:rPr>
      </w:pPr>
    </w:p>
    <w:p w14:paraId="01016D04" w14:textId="77777777" w:rsidR="00AF5CD5" w:rsidRDefault="00D8066C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fase preparatória do lançamento, o fisco constatou que o VTN declarado pelo contribuinte apresentava-se inferior aos valores que constam no SIPT, referente ao município de XXX, relativamente à época do fato gerador do lançamento. Por esta razão, o contribuinte foi intimado a comprovar o valor declarado, mediante a apresentação de Laudo de avaliação do Valor da Terra Nua do imóvel, emitido por engenheiro agrônomo ou florestal, conforme estabelecida na NBR 14.653 da ABNT, com grau de fundamentação e precisão II, com ART (Anotação de Responsabilidade Técnica) registrada no CREA, contendo todos os elementos de pesquisa identificados e planilhas de cálculo, preferivelmente pelo método comparativo direto de dados de mercado. </w:t>
      </w:r>
    </w:p>
    <w:p w14:paraId="2EBFE2C9" w14:textId="77777777" w:rsidR="00AF5CD5" w:rsidRDefault="00AF5CD5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26BF292" w14:textId="0320977A" w:rsidR="00AF5CD5" w:rsidRDefault="00D8066C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 Termo de </w:t>
      </w:r>
      <w:r w:rsidR="005B474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ntimação constou que</w:t>
      </w:r>
      <w:r w:rsidR="005B47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alternativamente</w:t>
      </w:r>
      <w:r w:rsidR="005B47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contribuinte poderia se valer de avaliação efetuada pelas Fazendas Públicas Estaduais (exatorias) ou municipais, assim como aquelas efetuadas pela Emater, apresentando os métodos de avaliação e as fontes pesquisadas que levassem à convicção do valor atribuído ao imóvel. Tais documentos deveriam comprovar o VTN na data de 1</w:t>
      </w:r>
      <w:r w:rsidRPr="005B4744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de janeiro de 20</w:t>
      </w:r>
      <w:r w:rsidR="005B4744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, a preço de mercado. O intimado foi alertado que a não apresentação de laudo de avaliação ensejaria o arbitramento do valor da terra nua, com base nas informações do </w:t>
      </w:r>
      <w:r w:rsidR="005B474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istema de </w:t>
      </w:r>
      <w:r w:rsidR="005B474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reços de </w:t>
      </w:r>
      <w:r w:rsidR="005B474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erras - SIPT, nos termos do art. 14 da Lei </w:t>
      </w:r>
      <w:r w:rsidR="005B4744">
        <w:rPr>
          <w:rFonts w:ascii="Times New Roman" w:hAnsi="Times New Roman" w:cs="Times New Roman"/>
          <w:sz w:val="24"/>
          <w:szCs w:val="24"/>
        </w:rPr>
        <w:t>n</w:t>
      </w:r>
      <w:r w:rsidR="005B4744" w:rsidRPr="005B4744">
        <w:rPr>
          <w:rFonts w:ascii="Times New Roman" w:hAnsi="Times New Roman" w:cs="Times New Roman"/>
          <w:strike/>
          <w:sz w:val="24"/>
          <w:szCs w:val="24"/>
        </w:rPr>
        <w:t>º</w:t>
      </w:r>
      <w:r w:rsidR="005B47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9.393/96.</w:t>
      </w:r>
    </w:p>
    <w:p w14:paraId="524576D5" w14:textId="50E41E52" w:rsidR="00AF5CD5" w:rsidRDefault="00D8066C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Expirado o prazo fixado na intimação e, sem que o intimado tenha </w:t>
      </w:r>
      <w:r w:rsidR="005B47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apresentado o laudo de avaliação do imóvel, o fisco do município de XXX, no uso das atribuições de fiscalização e cobrança do ITR, delegadas nos termos do art. 1º da Lei</w:t>
      </w:r>
      <w:r w:rsidR="005B4744">
        <w:rPr>
          <w:rFonts w:ascii="Times New Roman" w:hAnsi="Times New Roman" w:cs="Times New Roman"/>
          <w:sz w:val="24"/>
          <w:szCs w:val="24"/>
        </w:rPr>
        <w:t xml:space="preserve"> n</w:t>
      </w:r>
      <w:r w:rsidR="005B4744" w:rsidRPr="005B4744">
        <w:rPr>
          <w:rFonts w:ascii="Times New Roman" w:hAnsi="Times New Roman" w:cs="Times New Roman"/>
          <w:strike/>
          <w:sz w:val="24"/>
          <w:szCs w:val="24"/>
        </w:rPr>
        <w:t>º</w:t>
      </w:r>
      <w:r w:rsidR="005B47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11.250</w:t>
      </w:r>
      <w:r w:rsidR="005B4744">
        <w:rPr>
          <w:rFonts w:ascii="Times New Roman" w:hAnsi="Times New Roman" w:cs="Times New Roman"/>
          <w:sz w:val="24"/>
          <w:szCs w:val="24"/>
        </w:rPr>
        <w:t>/2005</w:t>
      </w:r>
      <w:r>
        <w:rPr>
          <w:rFonts w:ascii="Times New Roman" w:hAnsi="Times New Roman" w:cs="Times New Roman"/>
          <w:sz w:val="24"/>
          <w:szCs w:val="24"/>
        </w:rPr>
        <w:t xml:space="preserve"> e com fundamento no art. 14 da Lei </w:t>
      </w:r>
      <w:r w:rsidR="005B4744">
        <w:rPr>
          <w:rFonts w:ascii="Times New Roman" w:hAnsi="Times New Roman" w:cs="Times New Roman"/>
          <w:sz w:val="24"/>
          <w:szCs w:val="24"/>
        </w:rPr>
        <w:t>n</w:t>
      </w:r>
      <w:r w:rsidR="005B4744" w:rsidRPr="005B4744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9.393/96, efetuou o lançamento de ofício utilizando como VTN o valor que consta no Sistema de Preços de Terras (SIPT), referente ao exercício de 201</w:t>
      </w:r>
      <w:r w:rsidR="005B4744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, relativamente ao município de localização do imóvel.</w:t>
      </w:r>
    </w:p>
    <w:p w14:paraId="4DECBCE1" w14:textId="6DFCC84C" w:rsidR="00AF5CD5" w:rsidRDefault="00D8066C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lançamento foi efetuado em nome de “José da Silva- Espólio de”, tendo em vista constar no sistema da RFB que, em </w:t>
      </w:r>
      <w:proofErr w:type="spellStart"/>
      <w:r w:rsidR="00763436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76343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63436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76343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63436"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>, ocorre</w:t>
      </w:r>
      <w:r w:rsidR="005B4744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o óbito de José da Silva</w:t>
      </w:r>
      <w:r w:rsidR="005B4744">
        <w:rPr>
          <w:rFonts w:ascii="Times New Roman" w:hAnsi="Times New Roman" w:cs="Times New Roman"/>
          <w:sz w:val="24"/>
          <w:szCs w:val="24"/>
        </w:rPr>
        <w:t>.</w:t>
      </w:r>
    </w:p>
    <w:p w14:paraId="0E16F0B0" w14:textId="775A9634" w:rsidR="00AF5CD5" w:rsidRDefault="00D8066C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Transcorrido o prazo regulamentar e não tendo o sujeito passivo impugnado o lançamento ou recolhido o crédito tributário lançado, foi lavrado o termo de revelia (fls.</w:t>
      </w:r>
      <w:r w:rsidR="005B4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744"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211C4776" w14:textId="67C5EA4E" w:rsidR="00AF5CD5" w:rsidRDefault="00D8066C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Posteriormente, constatou-se que o inventário foi encerrado, em </w:t>
      </w:r>
      <w:proofErr w:type="spellStart"/>
      <w:r w:rsidR="00763436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76343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63436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76343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63436"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>, com a partilha dos bens deixados pelo falecido, conforme se verifica na cópia do formal de partilha às fls. ...</w:t>
      </w:r>
    </w:p>
    <w:p w14:paraId="54EE4432" w14:textId="77777777" w:rsidR="00AF5CD5" w:rsidRDefault="00AF5CD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3BB1332" w14:textId="77777777" w:rsidR="00AF5CD5" w:rsidRDefault="00AF5CD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ADC479F" w14:textId="77777777" w:rsidR="00AF5CD5" w:rsidRDefault="00AF5CD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FB46C29" w14:textId="77777777" w:rsidR="00AF5CD5" w:rsidRDefault="00D8066C">
      <w:pPr>
        <w:pStyle w:val="PargrafodaLista"/>
        <w:pBdr>
          <w:top w:val="single" w:sz="4" w:space="1" w:color="000000"/>
          <w:bottom w:val="single" w:sz="6" w:space="1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ANÁLISE</w:t>
      </w:r>
    </w:p>
    <w:p w14:paraId="47A65316" w14:textId="77777777" w:rsidR="00AF5CD5" w:rsidRDefault="00AF5CD5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2CE45F0" w14:textId="77777777" w:rsidR="00AF5CD5" w:rsidRDefault="00AF5CD5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05D511B" w14:textId="77777777" w:rsidR="00AF5CD5" w:rsidRDefault="00D8066C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Conforme tratado no art. 1.784 do Código Civil, com a extinção da pessoa natural, abre-se imediatamente a sucessão, transferindo-se o patrimônio do </w:t>
      </w:r>
      <w:r w:rsidRPr="005B47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de cujus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aos herdeiros legítimos ou testamentários.</w:t>
      </w:r>
    </w:p>
    <w:p w14:paraId="56FD55A5" w14:textId="77777777" w:rsidR="00AF5CD5" w:rsidRDefault="00AF5CD5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FCB8DCE" w14:textId="0D36667A" w:rsidR="00AF5CD5" w:rsidRDefault="00D8066C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Entende-se por patrimônio do </w:t>
      </w:r>
      <w:r w:rsidRPr="005B47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de cuj</w:t>
      </w:r>
      <w:r w:rsidR="005B4744" w:rsidRPr="005B47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 conjunto de bens, direitos e obrigações, ao qual se dá o nome de espólio que é representado pelo administrador provisório ou pelo inventariante se este já houver sido designado formalmente no processo de inventário.</w:t>
      </w:r>
    </w:p>
    <w:p w14:paraId="4F0C0322" w14:textId="77777777" w:rsidR="00AF5CD5" w:rsidRDefault="00AF5CD5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AE10D64" w14:textId="77777777" w:rsidR="00AF5CD5" w:rsidRDefault="00D8066C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 espólio não existe como um fim em si mesmo, sendo liquidado ao fim do processo de inventário. Concluído o processo de inventário, o espólio deixa de existir, transferindo-se os bens aos sucessores.</w:t>
      </w:r>
    </w:p>
    <w:p w14:paraId="46CB673B" w14:textId="77777777" w:rsidR="00AF5CD5" w:rsidRDefault="00AF5CD5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4441B3A" w14:textId="043E702E" w:rsidR="00AF5CD5" w:rsidRDefault="00D8066C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Ao tratar da responsabilidade dos sucessores o, inciso II, art. 131</w:t>
      </w:r>
      <w:r w:rsidR="005B474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do CTN dispõe da seguinte maneira: </w:t>
      </w:r>
    </w:p>
    <w:p w14:paraId="43D53CEA" w14:textId="77777777" w:rsidR="00AF5CD5" w:rsidRDefault="00AF5CD5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68EA35D" w14:textId="77777777" w:rsidR="00AF5CD5" w:rsidRDefault="00D80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34"/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Art. 131- São Pessoalmente, responsáveis:</w:t>
      </w:r>
    </w:p>
    <w:p w14:paraId="091E1622" w14:textId="77777777" w:rsidR="00AF5CD5" w:rsidRDefault="00D80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34"/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I - ...</w:t>
      </w:r>
    </w:p>
    <w:p w14:paraId="6243C6AE" w14:textId="579209F2" w:rsidR="00AF5CD5" w:rsidRDefault="00D80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34"/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lastRenderedPageBreak/>
        <w:t xml:space="preserve">I – </w:t>
      </w:r>
      <w:proofErr w:type="gramStart"/>
      <w:r>
        <w:rPr>
          <w:rFonts w:ascii="Courier New" w:hAnsi="Courier New" w:cs="Courier New"/>
          <w:i/>
          <w:iCs/>
        </w:rPr>
        <w:t>o</w:t>
      </w:r>
      <w:proofErr w:type="gramEnd"/>
      <w:r>
        <w:rPr>
          <w:rFonts w:ascii="Courier New" w:hAnsi="Courier New" w:cs="Courier New"/>
          <w:i/>
          <w:iCs/>
        </w:rPr>
        <w:t xml:space="preserve"> sucessor a qualquer título e o cônjuge meeiro, pelos tributos devidos pelo de cujos até a data da partilha ou adjudicação, limitada esta responsabilidade</w:t>
      </w:r>
      <w:r w:rsidR="005B4744">
        <w:rPr>
          <w:rFonts w:ascii="Courier New" w:hAnsi="Courier New" w:cs="Courier New"/>
          <w:i/>
          <w:iCs/>
        </w:rPr>
        <w:t xml:space="preserve"> </w:t>
      </w:r>
      <w:r>
        <w:rPr>
          <w:rFonts w:ascii="Courier New" w:hAnsi="Courier New" w:cs="Courier New"/>
          <w:i/>
          <w:iCs/>
        </w:rPr>
        <w:t xml:space="preserve">  ao montante do quinhão do legado ou meação.</w:t>
      </w:r>
    </w:p>
    <w:p w14:paraId="5D29E11E" w14:textId="77777777" w:rsidR="00AF5CD5" w:rsidRDefault="00AF5CD5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AAE28EC" w14:textId="0FBCF65E" w:rsidR="00AF5CD5" w:rsidRDefault="00D8066C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Passando ao exame dos fundamentos do imposto sobre a propriedade territorial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ITR,  </w:t>
      </w:r>
      <w:r w:rsidR="005B474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CTN assim dispõe sobre o fato gerador e o contribuinte do ITR:</w:t>
      </w:r>
    </w:p>
    <w:p w14:paraId="7664A439" w14:textId="77777777" w:rsidR="00AF5CD5" w:rsidRDefault="00AF5CD5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DFD0B48" w14:textId="77777777" w:rsidR="00AF5CD5" w:rsidRDefault="00D80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1134"/>
        <w:jc w:val="both"/>
        <w:rPr>
          <w:rFonts w:ascii="Courier New" w:eastAsia="Times New Roman" w:hAnsi="Courier New" w:cs="Courier New"/>
          <w:i/>
          <w:iCs/>
          <w:color w:val="000000"/>
          <w:lang w:eastAsia="fr-FR"/>
        </w:rPr>
      </w:pPr>
      <w:r>
        <w:rPr>
          <w:rFonts w:ascii="Courier New" w:eastAsia="Times New Roman" w:hAnsi="Courier New" w:cs="Courier New"/>
          <w:i/>
          <w:iCs/>
          <w:color w:val="000000"/>
          <w:lang w:eastAsia="fr-FR"/>
        </w:rPr>
        <w:t>“art. 29. O imposto, de competência da União, sobre a propriedade territorial rural tem como fato gerador a propriedade, o domínio útil ou a posse de imóvel por natureza, como definido na lei civil, localizado fora da zona urbana do Município.</w:t>
      </w:r>
    </w:p>
    <w:p w14:paraId="3FA68446" w14:textId="77777777" w:rsidR="00AF5CD5" w:rsidRDefault="00AF5C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1134"/>
        <w:jc w:val="both"/>
        <w:rPr>
          <w:rFonts w:ascii="Courier New" w:eastAsia="Times New Roman" w:hAnsi="Courier New" w:cs="Courier New"/>
          <w:i/>
          <w:iCs/>
          <w:color w:val="000000"/>
          <w:lang w:eastAsia="fr-FR"/>
        </w:rPr>
      </w:pPr>
    </w:p>
    <w:p w14:paraId="722D5754" w14:textId="77777777" w:rsidR="00AF5CD5" w:rsidRDefault="00D80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1134"/>
        <w:jc w:val="both"/>
        <w:rPr>
          <w:rFonts w:ascii="Courier New" w:eastAsia="Times New Roman" w:hAnsi="Courier New" w:cs="Courier New"/>
          <w:i/>
          <w:iCs/>
          <w:color w:val="000000"/>
          <w:lang w:eastAsia="fr-FR"/>
        </w:rPr>
      </w:pPr>
      <w:r>
        <w:rPr>
          <w:rFonts w:ascii="Courier New" w:eastAsia="Times New Roman" w:hAnsi="Courier New" w:cs="Courier New"/>
          <w:i/>
          <w:iCs/>
          <w:color w:val="000000"/>
          <w:lang w:eastAsia="fr-FR"/>
        </w:rPr>
        <w:t>(...)</w:t>
      </w:r>
    </w:p>
    <w:p w14:paraId="507C32EB" w14:textId="77777777" w:rsidR="00AF5CD5" w:rsidRDefault="00AF5C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1134"/>
        <w:jc w:val="both"/>
        <w:rPr>
          <w:rFonts w:ascii="Courier New" w:eastAsia="Times New Roman" w:hAnsi="Courier New" w:cs="Courier New"/>
          <w:i/>
          <w:iCs/>
          <w:color w:val="000000"/>
          <w:lang w:eastAsia="fr-FR"/>
        </w:rPr>
      </w:pPr>
    </w:p>
    <w:p w14:paraId="47BA2F85" w14:textId="77777777" w:rsidR="00AF5CD5" w:rsidRDefault="00D8066C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34"/>
        <w:jc w:val="both"/>
        <w:rPr>
          <w:rFonts w:ascii="Courier New" w:eastAsia="Times New Roman" w:hAnsi="Courier New" w:cs="Courier New"/>
          <w:i/>
          <w:iCs/>
          <w:color w:val="000000"/>
          <w:lang w:eastAsia="fr-FR"/>
        </w:rPr>
      </w:pPr>
      <w:r>
        <w:rPr>
          <w:rFonts w:ascii="Courier New" w:eastAsia="Times New Roman" w:hAnsi="Courier New" w:cs="Courier New"/>
          <w:i/>
          <w:iCs/>
          <w:color w:val="000000"/>
          <w:lang w:eastAsia="fr-FR"/>
        </w:rPr>
        <w:t>art. 31. Contribuinte do imposto é o proprietário do imóvel, o titular de seu domínio útil, ou o seu possuidor a qualquer título.”</w:t>
      </w:r>
    </w:p>
    <w:p w14:paraId="4CBDEC77" w14:textId="77777777" w:rsidR="00AF5CD5" w:rsidRDefault="00AF5CD5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D256155" w14:textId="77777777" w:rsidR="00AF5CD5" w:rsidRDefault="00D8066C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 Lei n</w:t>
      </w:r>
      <w:r w:rsidRPr="005B4744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fr-FR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9.393/1996, que versa sobre o ITR, seguiu a mesma orientação do CTN, ao tratar do fato gerador e do contribuinte do imposto.</w:t>
      </w:r>
    </w:p>
    <w:p w14:paraId="0E13B407" w14:textId="77777777" w:rsidR="00AF5CD5" w:rsidRDefault="00AF5CD5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4EE2239" w14:textId="77777777" w:rsidR="00AF5CD5" w:rsidRDefault="00D80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1134"/>
        <w:jc w:val="both"/>
        <w:rPr>
          <w:rFonts w:ascii="Courier New" w:eastAsia="Times New Roman" w:hAnsi="Courier New" w:cs="Courier New"/>
          <w:i/>
          <w:iCs/>
          <w:color w:val="000000"/>
          <w:lang w:eastAsia="fr-FR"/>
        </w:rPr>
      </w:pPr>
      <w:r>
        <w:rPr>
          <w:rFonts w:ascii="Courier New" w:eastAsia="Times New Roman" w:hAnsi="Courier New" w:cs="Courier New"/>
          <w:i/>
          <w:iCs/>
          <w:color w:val="000000"/>
          <w:lang w:eastAsia="fr-FR"/>
        </w:rPr>
        <w:t>“Art. 1</w:t>
      </w:r>
      <w:r w:rsidRPr="00B70097">
        <w:rPr>
          <w:rFonts w:ascii="Courier New" w:eastAsia="Times New Roman" w:hAnsi="Courier New" w:cs="Courier New"/>
          <w:i/>
          <w:iCs/>
          <w:strike/>
          <w:color w:val="000000"/>
          <w:lang w:eastAsia="fr-FR"/>
        </w:rPr>
        <w:t>º</w:t>
      </w:r>
      <w:r>
        <w:rPr>
          <w:rFonts w:ascii="Courier New" w:eastAsia="Times New Roman" w:hAnsi="Courier New" w:cs="Courier New"/>
          <w:i/>
          <w:iCs/>
          <w:color w:val="000000"/>
          <w:lang w:eastAsia="fr-FR"/>
        </w:rPr>
        <w:t xml:space="preserve"> - O Imposto sobre a Propriedade Territorial Rural – ITR, de apuração anual, tem como fato gerador a propriedade, o domínio útil ou a posse de imóvel por natureza, localizado fora da zona urbana do município, em 1º de janeiro de cada ano.</w:t>
      </w:r>
    </w:p>
    <w:p w14:paraId="5EA3A897" w14:textId="77777777" w:rsidR="00AF5CD5" w:rsidRDefault="00AF5C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1134"/>
        <w:jc w:val="both"/>
        <w:rPr>
          <w:rFonts w:ascii="Courier New" w:eastAsia="Times New Roman" w:hAnsi="Courier New" w:cs="Courier New"/>
          <w:i/>
          <w:iCs/>
          <w:color w:val="000000"/>
          <w:lang w:eastAsia="fr-FR"/>
        </w:rPr>
      </w:pPr>
    </w:p>
    <w:p w14:paraId="4787986C" w14:textId="77777777" w:rsidR="00AF5CD5" w:rsidRDefault="00D80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1134"/>
        <w:jc w:val="both"/>
        <w:rPr>
          <w:rFonts w:ascii="Courier New" w:eastAsia="Times New Roman" w:hAnsi="Courier New" w:cs="Courier New"/>
          <w:i/>
          <w:iCs/>
          <w:color w:val="000000"/>
          <w:lang w:eastAsia="fr-FR"/>
        </w:rPr>
      </w:pPr>
      <w:r>
        <w:rPr>
          <w:rFonts w:ascii="Courier New" w:eastAsia="Times New Roman" w:hAnsi="Courier New" w:cs="Courier New"/>
          <w:i/>
          <w:iCs/>
          <w:color w:val="000000"/>
          <w:lang w:eastAsia="fr-FR"/>
        </w:rPr>
        <w:t>"Art.4</w:t>
      </w:r>
      <w:r w:rsidRPr="00B70097">
        <w:rPr>
          <w:rFonts w:ascii="Courier New" w:eastAsia="Times New Roman" w:hAnsi="Courier New" w:cs="Courier New"/>
          <w:i/>
          <w:iCs/>
          <w:strike/>
          <w:color w:val="000000"/>
          <w:lang w:eastAsia="fr-FR"/>
        </w:rPr>
        <w:t>º</w:t>
      </w:r>
      <w:r>
        <w:rPr>
          <w:rFonts w:ascii="Courier New" w:eastAsia="Times New Roman" w:hAnsi="Courier New" w:cs="Courier New"/>
          <w:i/>
          <w:iCs/>
          <w:color w:val="000000"/>
          <w:lang w:eastAsia="fr-FR"/>
        </w:rPr>
        <w:t xml:space="preserve"> - Contribuinte do ITR é o proprietário de imóvel rural, o titular de seu domínio útil ou o seu possuidor a qualquer título.”</w:t>
      </w:r>
    </w:p>
    <w:p w14:paraId="37EF52D5" w14:textId="77777777" w:rsidR="00AF5CD5" w:rsidRDefault="00AF5C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4988EC" w14:textId="3100BAF5" w:rsidR="00AF5CD5" w:rsidRDefault="00D8066C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Assim, o lançamento em nome do espólio configura erro na identificação do sujeito passivo, o que caracteriza vício formal, sendo necessário o cancelamento da exigência </w:t>
      </w:r>
      <w:r w:rsidRPr="00F5438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feitura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novo lançamento, em nome dos sucessores, nos termos do inciso II, do art. 131 da Lei </w:t>
      </w:r>
      <w:r w:rsidR="00F5438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</w:t>
      </w:r>
      <w:r w:rsidRPr="00F5438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fr-FR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5.172/66 (CTN), observado o disposto no inciso II, do art. 173 da mesma Lei.</w:t>
      </w:r>
    </w:p>
    <w:p w14:paraId="6716B3E0" w14:textId="77777777" w:rsidR="00AF5CD5" w:rsidRDefault="00AF5CD5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FF992D" w14:textId="77777777" w:rsidR="00AF5CD5" w:rsidRDefault="00AF5CD5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A43668" w14:textId="77777777" w:rsidR="00AF5CD5" w:rsidRDefault="00AF5CD5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C7EC5A" w14:textId="77777777" w:rsidR="00AF5CD5" w:rsidRDefault="00D8066C">
      <w:pPr>
        <w:pStyle w:val="PargrafodaLista"/>
        <w:pBdr>
          <w:top w:val="single" w:sz="4" w:space="1" w:color="000000"/>
          <w:bottom w:val="single" w:sz="6" w:space="0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</w:t>
      </w:r>
    </w:p>
    <w:p w14:paraId="72C317DA" w14:textId="77777777" w:rsidR="00AF5CD5" w:rsidRDefault="00AF5CD5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176FA42" w14:textId="77777777" w:rsidR="00AF5CD5" w:rsidRDefault="00D8066C">
      <w:pPr>
        <w:pStyle w:val="PargrafodaLista"/>
        <w:ind w:left="0" w:firstLine="127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todo o exposto, com fulcro no que dispõe no inciso III, do art. 145 c/c inciso VIII. Do art. 149, ambos do Código Tributário Nacional (CTN),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DECLARO NULO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por erro na identificação do sujeito passivo, o lançamento encartado no processo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nº  ...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lavrado em nome de José da Silva, no valor de R$.....</w:t>
      </w:r>
    </w:p>
    <w:p w14:paraId="0C6B9DC1" w14:textId="77777777" w:rsidR="00AF5CD5" w:rsidRDefault="00AF5CD5">
      <w:pPr>
        <w:pStyle w:val="PargrafodaLista"/>
        <w:ind w:left="0" w:firstLine="1276"/>
        <w:jc w:val="both"/>
      </w:pPr>
    </w:p>
    <w:p w14:paraId="178FBE8C" w14:textId="77777777" w:rsidR="00AF5CD5" w:rsidRDefault="00D8066C">
      <w:pPr>
        <w:pStyle w:val="PargrafodaLista"/>
        <w:ind w:left="0" w:firstLine="127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À RFB para adotar as providências necessárias, visando promover os ajustes no sistema que controla o crédito tributário e avaliar o interesse em efetuar novo lançamento.</w:t>
      </w:r>
    </w:p>
    <w:p w14:paraId="008DB4A4" w14:textId="77777777" w:rsidR="00AF5CD5" w:rsidRDefault="00AF5CD5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579865" w14:textId="77777777" w:rsidR="00AF5CD5" w:rsidRDefault="00AF5CD5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7E49F6" w14:textId="77777777" w:rsidR="00AF5CD5" w:rsidRDefault="00AF5CD5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E83D8E" w14:textId="77777777" w:rsidR="00AF5CD5" w:rsidRDefault="00AF5CD5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798E4C98" w14:textId="77777777" w:rsidR="00AF5CD5" w:rsidRDefault="00D8066C">
      <w:pPr>
        <w:pStyle w:val="PargrafodaLista"/>
        <w:ind w:left="0"/>
        <w:jc w:val="center"/>
        <w:rPr>
          <w:rFonts w:ascii="Times New Roman" w:hAnsi="Times New Roman" w:cs="Times New Roman"/>
          <w:i/>
          <w:iCs/>
          <w:color w:val="AEAAAA" w:themeColor="background2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EAAAA" w:themeColor="background2" w:themeShade="BF"/>
          <w:sz w:val="24"/>
          <w:szCs w:val="24"/>
        </w:rPr>
        <w:t>(assinado digitalmente)</w:t>
      </w:r>
    </w:p>
    <w:p w14:paraId="631D6584" w14:textId="77777777" w:rsidR="00AF5CD5" w:rsidRDefault="00D8066C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João da Silva</w:t>
      </w:r>
    </w:p>
    <w:p w14:paraId="79CC745B" w14:textId="77777777" w:rsidR="00AF5CD5" w:rsidRDefault="00D8066C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Auditor Fiscal do Município de </w:t>
      </w:r>
    </w:p>
    <w:p w14:paraId="3398CD7B" w14:textId="1DBAE971" w:rsidR="00AF5CD5" w:rsidRDefault="00D8066C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Matr</w:t>
      </w:r>
      <w:r w:rsidR="00F543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í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cula N</w:t>
      </w:r>
      <w:r w:rsidRPr="00F54388">
        <w:rPr>
          <w:rFonts w:ascii="Times New Roman" w:hAnsi="Times New Roman" w:cs="Times New Roman"/>
          <w:i/>
          <w:iCs/>
          <w:strike/>
          <w:color w:val="000000" w:themeColor="text1"/>
          <w:sz w:val="24"/>
          <w:szCs w:val="24"/>
        </w:rPr>
        <w:t>°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xxxxxx</w:t>
      </w:r>
      <w:proofErr w:type="spellEnd"/>
    </w:p>
    <w:sectPr w:rsidR="00AF5C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701" w:bottom="1418" w:left="1701" w:header="397" w:footer="22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6A0A" w14:textId="77777777" w:rsidR="00B60F19" w:rsidRDefault="00B60F19">
      <w:pPr>
        <w:spacing w:after="0" w:line="240" w:lineRule="auto"/>
      </w:pPr>
      <w:r>
        <w:separator/>
      </w:r>
    </w:p>
  </w:endnote>
  <w:endnote w:type="continuationSeparator" w:id="0">
    <w:p w14:paraId="3A77F7B6" w14:textId="77777777" w:rsidR="00B60F19" w:rsidRDefault="00B6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979D" w14:textId="77777777" w:rsidR="00F54388" w:rsidRDefault="00F543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EFAF" w14:textId="77777777" w:rsidR="00AF5CD5" w:rsidRDefault="00AF5CD5">
    <w:pPr>
      <w:pBdr>
        <w:top w:val="single" w:sz="4" w:space="1" w:color="000000"/>
      </w:pBdr>
      <w:spacing w:after="0" w:line="240" w:lineRule="auto"/>
      <w:jc w:val="center"/>
      <w:rPr>
        <w:sz w:val="16"/>
        <w:szCs w:val="16"/>
      </w:rPr>
    </w:pPr>
  </w:p>
  <w:p w14:paraId="176FD449" w14:textId="77777777" w:rsidR="00AF5CD5" w:rsidRDefault="00D8066C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 xml:space="preserve">Prefeitura Municipal de </w:t>
    </w:r>
  </w:p>
  <w:p w14:paraId="382FA17A" w14:textId="77777777" w:rsidR="00AF5CD5" w:rsidRDefault="00D8066C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>Av. ......…, n</w:t>
    </w:r>
    <w:r w:rsidRPr="00F54388">
      <w:rPr>
        <w:rFonts w:ascii="Times New Roman" w:hAnsi="Times New Roman"/>
        <w:strike/>
        <w:sz w:val="16"/>
        <w:szCs w:val="16"/>
      </w:rPr>
      <w:t>º</w:t>
    </w:r>
  </w:p>
  <w:p w14:paraId="16529E90" w14:textId="77777777" w:rsidR="00AF5CD5" w:rsidRDefault="00D8066C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 xml:space="preserve">CEP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4D19" w14:textId="77777777" w:rsidR="00F54388" w:rsidRDefault="00F543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0545" w14:textId="77777777" w:rsidR="00B60F19" w:rsidRDefault="00B60F19">
      <w:pPr>
        <w:spacing w:after="0" w:line="240" w:lineRule="auto"/>
      </w:pPr>
      <w:r>
        <w:separator/>
      </w:r>
    </w:p>
  </w:footnote>
  <w:footnote w:type="continuationSeparator" w:id="0">
    <w:p w14:paraId="4331D528" w14:textId="77777777" w:rsidR="00B60F19" w:rsidRDefault="00B6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D8C1" w14:textId="77777777" w:rsidR="00F54388" w:rsidRDefault="00F543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90F" w14:textId="77777777" w:rsidR="00AF5CD5" w:rsidRDefault="00D8066C">
    <w:pPr>
      <w:pStyle w:val="Cabealho"/>
      <w:rPr>
        <w:rFonts w:ascii="Times New Roman" w:hAnsi="Times New Roman"/>
      </w:rPr>
    </w:pPr>
    <w:r>
      <w:rPr>
        <w:rFonts w:ascii="Times New Roman" w:hAnsi="Times New Roman"/>
      </w:rPr>
      <w:t>Prefeitura Municipal de XXX</w:t>
    </w:r>
  </w:p>
  <w:p w14:paraId="3A5A74A8" w14:textId="77777777" w:rsidR="00AF5CD5" w:rsidRDefault="00AF5CD5">
    <w:pPr>
      <w:pStyle w:val="Cabealho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39BD" w14:textId="77777777" w:rsidR="00F54388" w:rsidRDefault="00F543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D5"/>
    <w:rsid w:val="00336D3B"/>
    <w:rsid w:val="00404EB3"/>
    <w:rsid w:val="00577694"/>
    <w:rsid w:val="005B4744"/>
    <w:rsid w:val="00763436"/>
    <w:rsid w:val="009152D9"/>
    <w:rsid w:val="00942AD7"/>
    <w:rsid w:val="00AF5CD5"/>
    <w:rsid w:val="00B60F19"/>
    <w:rsid w:val="00B70097"/>
    <w:rsid w:val="00D8066C"/>
    <w:rsid w:val="00DD7645"/>
    <w:rsid w:val="00E36B17"/>
    <w:rsid w:val="00F54388"/>
    <w:rsid w:val="00FD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E32A"/>
  <w15:docId w15:val="{F7896537-E6FB-4D7B-8A90-48036495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503B"/>
  </w:style>
  <w:style w:type="character" w:customStyle="1" w:styleId="RodapChar">
    <w:name w:val="Rodapé Char"/>
    <w:basedOn w:val="Fontepargpadro"/>
    <w:link w:val="Rodap"/>
    <w:uiPriority w:val="99"/>
    <w:qFormat/>
    <w:rsid w:val="00E6503B"/>
  </w:style>
  <w:style w:type="character" w:styleId="Hyperlink">
    <w:name w:val="Hyperlink"/>
    <w:basedOn w:val="Fontepargpadro"/>
    <w:uiPriority w:val="99"/>
    <w:semiHidden/>
    <w:unhideWhenUsed/>
    <w:rsid w:val="00C7355B"/>
    <w:rPr>
      <w:color w:val="0000FF"/>
      <w:u w:val="single"/>
    </w:rPr>
  </w:style>
  <w:style w:type="character" w:customStyle="1" w:styleId="fontstyle01">
    <w:name w:val="fontstyle01"/>
    <w:basedOn w:val="Fontepargpadro"/>
    <w:qFormat/>
    <w:rsid w:val="00F91232"/>
    <w:rPr>
      <w:rFonts w:ascii="TimesNewRomanPS-BoldItalicMT" w:hAnsi="TimesNewRomanPS-BoldItalicMT"/>
      <w:b/>
      <w:bCs/>
      <w:i/>
      <w:iCs/>
      <w:color w:val="000000"/>
      <w:sz w:val="22"/>
      <w:szCs w:val="22"/>
    </w:rPr>
  </w:style>
  <w:style w:type="character" w:styleId="Forte">
    <w:name w:val="Strong"/>
    <w:basedOn w:val="Fontepargpadro"/>
    <w:uiPriority w:val="22"/>
    <w:qFormat/>
    <w:rsid w:val="00475964"/>
    <w:rPr>
      <w:b/>
      <w:bCs/>
    </w:rPr>
  </w:style>
  <w:style w:type="character" w:styleId="TextodoEspaoReservado">
    <w:name w:val="Placeholder Text"/>
    <w:basedOn w:val="Fontepargpadro"/>
    <w:uiPriority w:val="99"/>
    <w:semiHidden/>
    <w:qFormat/>
    <w:rsid w:val="0070322E"/>
    <w:rPr>
      <w:color w:val="808080"/>
    </w:rPr>
  </w:style>
  <w:style w:type="character" w:customStyle="1" w:styleId="fontstyle21">
    <w:name w:val="fontstyle21"/>
    <w:basedOn w:val="Fontepargpadro"/>
    <w:qFormat/>
    <w:rsid w:val="00FD3A83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693229"/>
    <w:pPr>
      <w:ind w:left="720"/>
      <w:contextualSpacing/>
    </w:pPr>
  </w:style>
  <w:style w:type="paragraph" w:styleId="SemEspaamento">
    <w:name w:val="No Spacing"/>
    <w:uiPriority w:val="1"/>
    <w:qFormat/>
    <w:rsid w:val="00406725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6503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6503B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C735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D66A54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table" w:styleId="Tabelacomgrade">
    <w:name w:val="Table Grid"/>
    <w:basedOn w:val="Tabelanormal"/>
    <w:uiPriority w:val="39"/>
    <w:rsid w:val="00B9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B974-1644-43EC-9632-5A23CAE2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Receita Federal do Brasil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Sizenando Ferreira de Oliveira</dc:creator>
  <dc:description/>
  <cp:lastModifiedBy>Denise do Socorro dos Santos Marinho</cp:lastModifiedBy>
  <cp:revision>2</cp:revision>
  <cp:lastPrinted>2023-05-24T19:14:00Z</cp:lastPrinted>
  <dcterms:created xsi:type="dcterms:W3CDTF">2026-03-05T17:28:00Z</dcterms:created>
  <dcterms:modified xsi:type="dcterms:W3CDTF">2026-03-05T17:28:00Z</dcterms:modified>
  <dc:language>pt-BR</dc:language>
</cp:coreProperties>
</file>